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056DE" w14:textId="1C676B9F" w:rsidR="001D35F9" w:rsidRDefault="001D35F9" w:rsidP="003F21EF"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987C91" wp14:editId="7D5A5477">
                <wp:simplePos x="0" y="0"/>
                <wp:positionH relativeFrom="column">
                  <wp:posOffset>2270760</wp:posOffset>
                </wp:positionH>
                <wp:positionV relativeFrom="paragraph">
                  <wp:posOffset>-101600</wp:posOffset>
                </wp:positionV>
                <wp:extent cx="4470188" cy="685800"/>
                <wp:effectExtent l="0" t="0" r="635" b="0"/>
                <wp:wrapNone/>
                <wp:docPr id="71197177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0188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4D0517" w14:textId="77777777" w:rsidR="001D35F9" w:rsidRPr="003F21EF" w:rsidRDefault="001D35F9" w:rsidP="001D35F9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21EF">
                              <w:rPr>
                                <w:rFonts w:ascii="Aptos" w:hAnsi="Aptos"/>
                                <w:b/>
                                <w:bCs/>
                                <w:sz w:val="32"/>
                                <w:szCs w:val="32"/>
                              </w:rPr>
                              <w:t>Wisconsin Moving from NEC 2017 to NEC 2023</w:t>
                            </w:r>
                          </w:p>
                          <w:p w14:paraId="11C9382C" w14:textId="77777777" w:rsidR="001D35F9" w:rsidRPr="003F21EF" w:rsidRDefault="001D35F9" w:rsidP="001D35F9">
                            <w:pPr>
                              <w:jc w:val="center"/>
                              <w:rPr>
                                <w:rFonts w:ascii="Aptos" w:hAnsi="Apto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3F21EF">
                              <w:rPr>
                                <w:rFonts w:ascii="Aptos" w:hAnsi="Aptos"/>
                                <w:b/>
                                <w:bCs/>
                                <w:sz w:val="32"/>
                                <w:szCs w:val="32"/>
                              </w:rPr>
                              <w:t>Effective September 1, 2026</w:t>
                            </w:r>
                          </w:p>
                          <w:p w14:paraId="693D0575" w14:textId="77777777" w:rsidR="001D35F9" w:rsidRDefault="001D35F9" w:rsidP="001D35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6987C9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78.8pt;margin-top:-8pt;width:352pt;height:5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" fillcolor="white [3201]" stroked="f" strokeweight=".5pt">
                <v:textbox>
                  <w:txbxContent>
                    <w:p w14:paraId="5C4D0517" w14:textId="77777777" w:rsidR="001D35F9" w:rsidRPr="003F21EF" w:rsidRDefault="001D35F9" w:rsidP="001D35F9">
                      <w:pPr>
                        <w:jc w:val="center"/>
                        <w:rPr>
                          <w:rFonts w:ascii="Aptos" w:hAnsi="Aptos"/>
                          <w:b/>
                          <w:bCs/>
                          <w:sz w:val="32"/>
                          <w:szCs w:val="32"/>
                        </w:rPr>
                      </w:pPr>
                      <w:r w:rsidRPr="003F21EF">
                        <w:rPr>
                          <w:rFonts w:ascii="Aptos" w:hAnsi="Aptos"/>
                          <w:b/>
                          <w:bCs/>
                          <w:sz w:val="32"/>
                          <w:szCs w:val="32"/>
                        </w:rPr>
                        <w:t>Wisconsin Moving from NEC 2017 to NEC 2023</w:t>
                      </w:r>
                    </w:p>
                    <w:p w14:paraId="11C9382C" w14:textId="77777777" w:rsidR="001D35F9" w:rsidRPr="003F21EF" w:rsidRDefault="001D35F9" w:rsidP="001D35F9">
                      <w:pPr>
                        <w:jc w:val="center"/>
                        <w:rPr>
                          <w:rFonts w:ascii="Aptos" w:hAnsi="Aptos"/>
                          <w:b/>
                          <w:bCs/>
                          <w:sz w:val="32"/>
                          <w:szCs w:val="32"/>
                        </w:rPr>
                      </w:pPr>
                      <w:r w:rsidRPr="003F21EF">
                        <w:rPr>
                          <w:rFonts w:ascii="Aptos" w:hAnsi="Aptos"/>
                          <w:b/>
                          <w:bCs/>
                          <w:sz w:val="32"/>
                          <w:szCs w:val="32"/>
                        </w:rPr>
                        <w:t>Effective September 1, 2026</w:t>
                      </w:r>
                    </w:p>
                    <w:p w14:paraId="693D0575" w14:textId="77777777" w:rsidR="001D35F9" w:rsidRDefault="001D35F9" w:rsidP="001D35F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fldChar w:fldCharType="begin"/>
      </w:r>
      <w:r>
        <w:instrText xml:space="preserve"> INCLUDEPICTURE "/Users/lorifrisbie/Library/Group Containers/UBF8T346G9.ms/WebArchiveCopyPasteTempFiles/com.microsoft.Word/WBA-Logo-FourColor-Red-NoTagline-med.jpg"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EA8FE3F" wp14:editId="4AA8D197">
            <wp:extent cx="2120784" cy="401532"/>
            <wp:effectExtent l="0" t="0" r="635" b="5080"/>
            <wp:docPr id="1159171299" name="Picture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744" cy="419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44048513" w14:textId="77777777" w:rsidR="001D35F9" w:rsidRDefault="001D35F9" w:rsidP="003F21EF">
      <w:pPr>
        <w:rPr>
          <w:rFonts w:ascii="Aptos" w:hAnsi="Aptos"/>
          <w:b/>
          <w:bCs/>
          <w:sz w:val="32"/>
          <w:szCs w:val="32"/>
        </w:rPr>
      </w:pPr>
    </w:p>
    <w:p w14:paraId="495F4805" w14:textId="454BE58A" w:rsidR="003F21EF" w:rsidRDefault="003F21EF" w:rsidP="003F21EF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The below are the main changes that will affect Residential Home Builders in WI; ensure you talk to your local AHJs and codebooks to make sure you are installing/wiring per code.</w:t>
      </w:r>
    </w:p>
    <w:p w14:paraId="675ACF24" w14:textId="77777777" w:rsidR="003F21EF" w:rsidRDefault="003F21EF" w:rsidP="003F21EF">
      <w:pPr>
        <w:rPr>
          <w:rFonts w:ascii="Aptos" w:hAnsi="Aptos"/>
          <w:sz w:val="24"/>
          <w:szCs w:val="24"/>
        </w:rPr>
      </w:pPr>
    </w:p>
    <w:p w14:paraId="21C9846D" w14:textId="77777777" w:rsidR="003F21EF" w:rsidRPr="003F21EF" w:rsidRDefault="003F21EF" w:rsidP="003F21EF">
      <w:pPr>
        <w:rPr>
          <w:rFonts w:ascii="Aptos" w:hAnsi="Aptos"/>
          <w:b/>
          <w:bCs/>
          <w:sz w:val="24"/>
          <w:szCs w:val="24"/>
        </w:rPr>
      </w:pPr>
      <w:r w:rsidRPr="003F21EF">
        <w:rPr>
          <w:rFonts w:ascii="Aptos" w:hAnsi="Aptos"/>
          <w:b/>
          <w:bCs/>
          <w:sz w:val="24"/>
          <w:szCs w:val="24"/>
        </w:rPr>
        <w:t>2023 Wisconsin Code Update – Main Changes Impacting Residential Construction</w:t>
      </w:r>
    </w:p>
    <w:p w14:paraId="4AEA1619" w14:textId="77777777" w:rsidR="003F21EF" w:rsidRDefault="003F21EF" w:rsidP="003F21EF">
      <w:pPr>
        <w:numPr>
          <w:ilvl w:val="0"/>
          <w:numId w:val="1"/>
        </w:numPr>
        <w:rPr>
          <w:rFonts w:ascii="Aptos" w:eastAsia="Times New Roman" w:hAnsi="Aptos"/>
          <w:sz w:val="24"/>
          <w:szCs w:val="24"/>
        </w:rPr>
      </w:pPr>
      <w:r>
        <w:rPr>
          <w:rFonts w:ascii="Aptos" w:eastAsia="Times New Roman" w:hAnsi="Aptos"/>
          <w:b/>
          <w:bCs/>
          <w:sz w:val="24"/>
          <w:szCs w:val="24"/>
        </w:rPr>
        <w:t>Meter-main disconnects NEC 230.85:</w:t>
      </w:r>
      <w:r>
        <w:rPr>
          <w:rFonts w:ascii="Aptos" w:eastAsia="Times New Roman" w:hAnsi="Aptos"/>
          <w:sz w:val="24"/>
          <w:szCs w:val="24"/>
        </w:rPr>
        <w:t xml:space="preserve"> meter-main emergency disconnects are not required for a single-family residence served by its own individual meter.</w:t>
      </w:r>
    </w:p>
    <w:p w14:paraId="115EA862" w14:textId="77777777" w:rsidR="003F21EF" w:rsidRDefault="003F21EF" w:rsidP="003F21EF">
      <w:pPr>
        <w:numPr>
          <w:ilvl w:val="0"/>
          <w:numId w:val="1"/>
        </w:numPr>
        <w:rPr>
          <w:rFonts w:ascii="Aptos" w:eastAsia="Times New Roman" w:hAnsi="Aptos"/>
          <w:sz w:val="24"/>
          <w:szCs w:val="24"/>
        </w:rPr>
      </w:pPr>
      <w:r>
        <w:rPr>
          <w:rFonts w:ascii="Aptos" w:eastAsia="Times New Roman" w:hAnsi="Aptos"/>
          <w:b/>
          <w:bCs/>
          <w:sz w:val="24"/>
          <w:szCs w:val="24"/>
        </w:rPr>
        <w:t>Whole-house surge protection NEC 230.67:</w:t>
      </w:r>
      <w:r>
        <w:rPr>
          <w:rFonts w:ascii="Aptos" w:eastAsia="Times New Roman" w:hAnsi="Aptos"/>
          <w:sz w:val="24"/>
          <w:szCs w:val="24"/>
        </w:rPr>
        <w:t xml:space="preserve"> Wisconsin keeps the requirement for Type 1 or Type 2 surge protective devices on dwelling unit services.</w:t>
      </w:r>
    </w:p>
    <w:p w14:paraId="776E6F45" w14:textId="77777777" w:rsidR="003F21EF" w:rsidRDefault="003F21EF" w:rsidP="003F21EF">
      <w:pPr>
        <w:numPr>
          <w:ilvl w:val="1"/>
          <w:numId w:val="1"/>
        </w:numPr>
        <w:rPr>
          <w:rFonts w:ascii="Aptos" w:eastAsia="Times New Roman" w:hAnsi="Aptos"/>
          <w:sz w:val="24"/>
          <w:szCs w:val="24"/>
        </w:rPr>
      </w:pPr>
      <w:r>
        <w:rPr>
          <w:rFonts w:ascii="Aptos" w:eastAsia="Times New Roman" w:hAnsi="Aptos"/>
          <w:b/>
          <w:bCs/>
          <w:sz w:val="24"/>
          <w:szCs w:val="24"/>
        </w:rPr>
        <w:t>Surge protection locations:</w:t>
      </w:r>
      <w:r>
        <w:rPr>
          <w:rFonts w:ascii="Aptos" w:eastAsia="Times New Roman" w:hAnsi="Aptos"/>
          <w:sz w:val="24"/>
          <w:szCs w:val="24"/>
        </w:rPr>
        <w:t xml:space="preserve"> SPDs must be installed as part of the main service equipment or immediately adjacent to it, unless installed at the next level of distribution equipment downstream.</w:t>
      </w:r>
    </w:p>
    <w:p w14:paraId="62AFA8B2" w14:textId="77777777" w:rsidR="003F21EF" w:rsidRDefault="003F21EF" w:rsidP="003F21EF">
      <w:pPr>
        <w:numPr>
          <w:ilvl w:val="1"/>
          <w:numId w:val="1"/>
        </w:numPr>
        <w:rPr>
          <w:rFonts w:ascii="Aptos" w:eastAsia="Times New Roman" w:hAnsi="Aptos"/>
          <w:sz w:val="24"/>
          <w:szCs w:val="24"/>
        </w:rPr>
      </w:pPr>
      <w:r>
        <w:rPr>
          <w:rFonts w:ascii="Aptos" w:eastAsia="Times New Roman" w:hAnsi="Aptos"/>
          <w:b/>
          <w:bCs/>
          <w:sz w:val="24"/>
          <w:szCs w:val="24"/>
        </w:rPr>
        <w:t>Surge protection triggers:</w:t>
      </w:r>
      <w:r>
        <w:rPr>
          <w:rFonts w:ascii="Aptos" w:eastAsia="Times New Roman" w:hAnsi="Aptos"/>
          <w:sz w:val="24"/>
          <w:szCs w:val="24"/>
        </w:rPr>
        <w:t xml:space="preserve"> Required for new residential construction and for service replacements or upgrades.</w:t>
      </w:r>
    </w:p>
    <w:p w14:paraId="07E78D9C" w14:textId="77777777" w:rsidR="003F21EF" w:rsidRDefault="003F21EF" w:rsidP="003F21EF">
      <w:pPr>
        <w:numPr>
          <w:ilvl w:val="0"/>
          <w:numId w:val="1"/>
        </w:numPr>
        <w:rPr>
          <w:rFonts w:ascii="Aptos" w:eastAsia="Times New Roman" w:hAnsi="Aptos"/>
          <w:sz w:val="24"/>
          <w:szCs w:val="24"/>
        </w:rPr>
      </w:pPr>
      <w:r>
        <w:rPr>
          <w:rFonts w:ascii="Aptos" w:eastAsia="Times New Roman" w:hAnsi="Aptos"/>
          <w:b/>
          <w:bCs/>
          <w:sz w:val="24"/>
          <w:szCs w:val="24"/>
        </w:rPr>
        <w:t>Kitchen island and peninsula receptacles 2023 NEC 210.52(C):</w:t>
      </w:r>
      <w:r>
        <w:rPr>
          <w:rFonts w:ascii="Aptos" w:eastAsia="Times New Roman" w:hAnsi="Aptos"/>
          <w:sz w:val="24"/>
          <w:szCs w:val="24"/>
        </w:rPr>
        <w:t xml:space="preserve"> Wisconsin requires at least one receptacle on qualifying island and peninsula countertop spaces, rather than making them optional. (Can either mount on top or side of island)</w:t>
      </w:r>
    </w:p>
    <w:p w14:paraId="59303E16" w14:textId="77777777" w:rsidR="003F21EF" w:rsidRDefault="003F21EF" w:rsidP="003F21EF">
      <w:pPr>
        <w:numPr>
          <w:ilvl w:val="1"/>
          <w:numId w:val="1"/>
        </w:numPr>
        <w:rPr>
          <w:rFonts w:ascii="Aptos" w:eastAsia="Times New Roman" w:hAnsi="Aptos"/>
          <w:sz w:val="24"/>
          <w:szCs w:val="24"/>
        </w:rPr>
      </w:pPr>
      <w:r>
        <w:rPr>
          <w:rFonts w:ascii="Aptos" w:eastAsia="Times New Roman" w:hAnsi="Aptos"/>
          <w:b/>
          <w:bCs/>
          <w:sz w:val="24"/>
          <w:szCs w:val="24"/>
        </w:rPr>
        <w:t>Island receptacle size threshold:</w:t>
      </w:r>
      <w:r>
        <w:rPr>
          <w:rFonts w:ascii="Aptos" w:eastAsia="Times New Roman" w:hAnsi="Aptos"/>
          <w:sz w:val="24"/>
          <w:szCs w:val="24"/>
        </w:rPr>
        <w:t xml:space="preserve"> Requirement applies where the countertop space is at least 24 inches long and 12 inches wide.</w:t>
      </w:r>
    </w:p>
    <w:p w14:paraId="2ACAB679" w14:textId="77777777" w:rsidR="003F21EF" w:rsidRDefault="003F21EF" w:rsidP="003F21EF">
      <w:pPr>
        <w:numPr>
          <w:ilvl w:val="1"/>
          <w:numId w:val="1"/>
        </w:numPr>
        <w:rPr>
          <w:rFonts w:ascii="Aptos" w:eastAsia="Times New Roman" w:hAnsi="Aptos"/>
          <w:sz w:val="24"/>
          <w:szCs w:val="24"/>
        </w:rPr>
      </w:pPr>
      <w:r>
        <w:rPr>
          <w:rFonts w:ascii="Aptos" w:eastAsia="Times New Roman" w:hAnsi="Aptos"/>
          <w:b/>
          <w:bCs/>
          <w:sz w:val="24"/>
          <w:szCs w:val="24"/>
        </w:rPr>
        <w:t>Island receptacle mounting:</w:t>
      </w:r>
      <w:r>
        <w:rPr>
          <w:rFonts w:ascii="Aptos" w:eastAsia="Times New Roman" w:hAnsi="Aptos"/>
          <w:sz w:val="24"/>
          <w:szCs w:val="24"/>
        </w:rPr>
        <w:t xml:space="preserve"> Wisconsin allows receptacles to be mounted up to 12 inches below the countertop on the cabinet side if specific conditions are met.</w:t>
      </w:r>
    </w:p>
    <w:p w14:paraId="3DC709B0" w14:textId="77777777" w:rsidR="003F21EF" w:rsidRDefault="003F21EF" w:rsidP="003F21EF">
      <w:pPr>
        <w:numPr>
          <w:ilvl w:val="0"/>
          <w:numId w:val="1"/>
        </w:numPr>
        <w:rPr>
          <w:rFonts w:ascii="Aptos" w:eastAsia="Times New Roman" w:hAnsi="Aptos"/>
          <w:sz w:val="24"/>
          <w:szCs w:val="24"/>
        </w:rPr>
      </w:pPr>
      <w:r>
        <w:rPr>
          <w:rFonts w:ascii="Aptos" w:eastAsia="Times New Roman" w:hAnsi="Aptos"/>
          <w:b/>
          <w:bCs/>
          <w:sz w:val="24"/>
          <w:szCs w:val="24"/>
        </w:rPr>
        <w:t>GFCI appliance rollback 2023 NEC 210.8(D):</w:t>
      </w:r>
      <w:r>
        <w:rPr>
          <w:rFonts w:ascii="Aptos" w:eastAsia="Times New Roman" w:hAnsi="Aptos"/>
          <w:sz w:val="24"/>
          <w:szCs w:val="24"/>
        </w:rPr>
        <w:t xml:space="preserve"> Wisconsin does not adopt several GFCI requirements for appliances such as electric ranges, wall ovens, microwaves, and hydromassage bathtub circuits.</w:t>
      </w:r>
    </w:p>
    <w:p w14:paraId="17CB7497" w14:textId="77777777" w:rsidR="003F21EF" w:rsidRDefault="003F21EF" w:rsidP="003F21EF">
      <w:pPr>
        <w:numPr>
          <w:ilvl w:val="0"/>
          <w:numId w:val="1"/>
        </w:numPr>
        <w:rPr>
          <w:rFonts w:ascii="Aptos" w:eastAsia="Times New Roman" w:hAnsi="Aptos"/>
          <w:sz w:val="24"/>
          <w:szCs w:val="24"/>
        </w:rPr>
      </w:pPr>
      <w:r>
        <w:rPr>
          <w:rFonts w:ascii="Aptos" w:eastAsia="Times New Roman" w:hAnsi="Aptos"/>
          <w:b/>
          <w:bCs/>
          <w:sz w:val="24"/>
          <w:szCs w:val="24"/>
        </w:rPr>
        <w:t>Outdoor equipment GFCI rollback 2023 NEC 210.8(F):</w:t>
      </w:r>
      <w:r>
        <w:rPr>
          <w:rFonts w:ascii="Aptos" w:eastAsia="Times New Roman" w:hAnsi="Aptos"/>
          <w:sz w:val="24"/>
          <w:szCs w:val="24"/>
        </w:rPr>
        <w:t xml:space="preserve"> Wisconsin does not adopt the GFCI requirement for outdoor hardwired equipment such as HVAC condenser units.</w:t>
      </w:r>
    </w:p>
    <w:p w14:paraId="73447B8D" w14:textId="77777777" w:rsidR="003F21EF" w:rsidRDefault="003F21EF" w:rsidP="003F21EF">
      <w:pPr>
        <w:numPr>
          <w:ilvl w:val="0"/>
          <w:numId w:val="1"/>
        </w:numPr>
        <w:rPr>
          <w:rFonts w:ascii="Aptos" w:eastAsia="Times New Roman" w:hAnsi="Aptos"/>
          <w:sz w:val="24"/>
          <w:szCs w:val="24"/>
        </w:rPr>
      </w:pPr>
      <w:r>
        <w:rPr>
          <w:rFonts w:ascii="Aptos" w:eastAsia="Times New Roman" w:hAnsi="Aptos"/>
          <w:b/>
          <w:bCs/>
          <w:sz w:val="24"/>
          <w:szCs w:val="24"/>
        </w:rPr>
        <w:t>Basement GFCI scope 2023 NEC 210.8(A)(5):</w:t>
      </w:r>
      <w:r>
        <w:rPr>
          <w:rFonts w:ascii="Aptos" w:eastAsia="Times New Roman" w:hAnsi="Aptos"/>
          <w:sz w:val="24"/>
          <w:szCs w:val="24"/>
        </w:rPr>
        <w:t xml:space="preserve"> Wisconsin limits required basement GFCI protection mainly to unfinished basement areas, rather than all basement spaces.</w:t>
      </w:r>
    </w:p>
    <w:p w14:paraId="2544C0FE" w14:textId="77777777" w:rsidR="003F21EF" w:rsidRDefault="003F21EF" w:rsidP="003F21EF">
      <w:pPr>
        <w:numPr>
          <w:ilvl w:val="0"/>
          <w:numId w:val="1"/>
        </w:numPr>
        <w:rPr>
          <w:rFonts w:ascii="Aptos" w:eastAsia="Times New Roman" w:hAnsi="Aptos"/>
          <w:sz w:val="24"/>
          <w:szCs w:val="24"/>
        </w:rPr>
      </w:pPr>
      <w:r>
        <w:rPr>
          <w:rFonts w:ascii="Aptos" w:eastAsia="Times New Roman" w:hAnsi="Aptos"/>
          <w:b/>
          <w:bCs/>
          <w:sz w:val="24"/>
          <w:szCs w:val="24"/>
        </w:rPr>
        <w:t>AFCI retrofit rollback NEC 210.12(E):</w:t>
      </w:r>
      <w:r>
        <w:rPr>
          <w:rFonts w:ascii="Aptos" w:eastAsia="Times New Roman" w:hAnsi="Aptos"/>
          <w:sz w:val="24"/>
          <w:szCs w:val="24"/>
        </w:rPr>
        <w:t xml:space="preserve"> Wisconsin does not require AFCI protection to be added when existing residential branch circuits are modified, extended, or replaced.</w:t>
      </w:r>
    </w:p>
    <w:p w14:paraId="59AC91FC" w14:textId="77777777" w:rsidR="003F21EF" w:rsidRDefault="003F21EF" w:rsidP="003F21EF">
      <w:pPr>
        <w:rPr>
          <w:rFonts w:ascii="Aptos" w:hAnsi="Aptos"/>
          <w:sz w:val="24"/>
          <w:szCs w:val="24"/>
        </w:rPr>
      </w:pPr>
    </w:p>
    <w:p w14:paraId="2A921E1F" w14:textId="77777777" w:rsidR="001D35F9" w:rsidRDefault="003F21EF" w:rsidP="001D35F9">
      <w:pPr>
        <w:rPr>
          <w:rFonts w:ascii="Aptos" w:hAnsi="Aptos"/>
          <w:noProof/>
          <w:sz w:val="10"/>
          <w:szCs w:val="10"/>
        </w:rPr>
      </w:pPr>
      <w:r>
        <w:rPr>
          <w:rFonts w:ascii="Aptos" w:hAnsi="Aptos"/>
          <w:sz w:val="24"/>
          <w:szCs w:val="24"/>
        </w:rPr>
        <w:t>These changes should be an overall net benefit for the Wisconsin Builders.  There is minimal cost for the Surge Devices with good reward (&lt;$500 depending on type, MFG and Install).  Many vendors have tools to help show the benefit (</w:t>
      </w:r>
      <w:hyperlink r:id="rId6" w:tooltip="Protected by Avanan: https://www.eaton.com/content/dam/eaton/products/backup-power-ups-surge-it-power-distribution/surge-protection/eaton-home-surge-infographic-MZ010001EN.pdf" w:history="1">
        <w:r>
          <w:rPr>
            <w:rStyle w:val="Hyperlink"/>
            <w:rFonts w:ascii="Aptos" w:hAnsi="Aptos"/>
            <w:sz w:val="24"/>
            <w:szCs w:val="24"/>
          </w:rPr>
          <w:t>Eaton-Home-Surge-Infographic-SI-v3</w:t>
        </w:r>
      </w:hyperlink>
      <w:r>
        <w:rPr>
          <w:rFonts w:ascii="Aptos" w:hAnsi="Aptos"/>
          <w:sz w:val="24"/>
          <w:szCs w:val="24"/>
        </w:rPr>
        <w:t>) and offer a warranty for the devices as seen below.</w:t>
      </w:r>
      <w:r w:rsidR="001D35F9" w:rsidRPr="001D35F9">
        <w:rPr>
          <w:rFonts w:ascii="Aptos" w:hAnsi="Aptos"/>
          <w:noProof/>
          <w:sz w:val="24"/>
          <w:szCs w:val="24"/>
        </w:rPr>
        <w:t xml:space="preserve"> </w:t>
      </w:r>
      <w:r w:rsidR="001D35F9">
        <w:rPr>
          <w:rFonts w:ascii="Aptos" w:hAnsi="Aptos"/>
          <w:noProof/>
          <w:sz w:val="24"/>
          <w:szCs w:val="24"/>
        </w:rPr>
        <w:br/>
      </w:r>
    </w:p>
    <w:p w14:paraId="4C6955D9" w14:textId="259E8537" w:rsidR="003F21EF" w:rsidRDefault="001D35F9" w:rsidP="001D35F9">
      <w:pPr>
        <w:jc w:val="center"/>
        <w:rPr>
          <w:rFonts w:ascii="Aptos" w:hAnsi="Aptos"/>
          <w:sz w:val="24"/>
          <w:szCs w:val="24"/>
        </w:rPr>
      </w:pPr>
      <w:r>
        <w:rPr>
          <w:rFonts w:ascii="Aptos" w:hAnsi="Aptos"/>
          <w:noProof/>
          <w:sz w:val="24"/>
          <w:szCs w:val="24"/>
        </w:rPr>
        <w:drawing>
          <wp:inline distT="0" distB="0" distL="0" distR="0" wp14:anchorId="604E757B" wp14:editId="3CFDDC68">
            <wp:extent cx="5981700" cy="1997888"/>
            <wp:effectExtent l="0" t="0" r="0" b="2540"/>
            <wp:docPr id="1225001254" name="Picture 2" descr="A blue and white rectangular object with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001254" name="Picture 2" descr="A blue and white rectangular object with tex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243" cy="2003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F55DB" w14:textId="4A414BBB" w:rsidR="003F21EF" w:rsidRDefault="003F21EF" w:rsidP="001D35F9">
      <w:pPr>
        <w:jc w:val="center"/>
      </w:pPr>
      <w:r>
        <w:rPr>
          <w:rFonts w:ascii="Aptos" w:hAnsi="Aptos"/>
          <w:noProof/>
          <w:sz w:val="24"/>
          <w:szCs w:val="24"/>
        </w:rPr>
        <w:lastRenderedPageBreak/>
        <w:drawing>
          <wp:inline distT="0" distB="0" distL="0" distR="0" wp14:anchorId="70C825CE" wp14:editId="7DA5AEDC">
            <wp:extent cx="6166959" cy="2276475"/>
            <wp:effectExtent l="0" t="0" r="5715" b="0"/>
            <wp:docPr id="670605677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0605677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791" cy="227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D54E0" w14:textId="77777777" w:rsidR="003F21EF" w:rsidRDefault="003F21EF" w:rsidP="003F21EF"/>
    <w:p w14:paraId="028DF690" w14:textId="77777777" w:rsidR="003F21EF" w:rsidRDefault="003F21EF" w:rsidP="003F21EF">
      <w:pPr>
        <w:rPr>
          <w:rFonts w:ascii="Aptos" w:hAnsi="Aptos"/>
        </w:rPr>
      </w:pPr>
      <w:r>
        <w:rPr>
          <w:rFonts w:ascii="Aptos" w:hAnsi="Aptos"/>
        </w:rPr>
        <w:t>With the deleting of 230.85 – this change is substantial as it was going to increase the cost of a 200 Amp meter ped by approximately $700 just in Material.  With WI not forcing the installation of Countertop pop-ups on Islands – that also saves anywhere from $150-400 in materials alone.  There will also be cost savings realized with the rollbacks of GFCI and AFCI breakers that WI DSPS chose to do.</w:t>
      </w:r>
    </w:p>
    <w:p w14:paraId="67A7808D" w14:textId="77777777" w:rsidR="003F21EF" w:rsidRDefault="003F21EF"/>
    <w:sectPr w:rsidR="003F21EF" w:rsidSect="001D35F9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EF0AD7"/>
    <w:multiLevelType w:val="multilevel"/>
    <w:tmpl w:val="186E7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4980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1EF"/>
    <w:rsid w:val="00054BDB"/>
    <w:rsid w:val="001D35F9"/>
    <w:rsid w:val="003F21EF"/>
    <w:rsid w:val="004207A4"/>
    <w:rsid w:val="00531544"/>
    <w:rsid w:val="00B866E7"/>
    <w:rsid w:val="00C73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23A62"/>
  <w15:chartTrackingRefBased/>
  <w15:docId w15:val="{EC1B0C4F-4598-43C8-A36D-02EF7BC35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21EF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F21EF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22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8.png@01DD150B.0DDFD7A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l.avanan.click/v2/r01/___https:/www.eaton.com/content/dam/eaton/products/backup-power-ups-surge-it-power-distribution/surge-protection/eaton-home-surge-infographic-MZ010001EN.pdf___.YXAzOmMtd2lzY29uc2luYnVpbGRlcnNhc3NvY2lhdGlvbjphOm86MzBkZjcxZDI2Y2Q0OGRiMDc4MmY2YWRhYWM3YzFhZmU6Nzo3MWE4OjM0OWM2MmFlNTc2Mzc4ZWE4OGE1Yjk2Zjk4ZWQ2ZDdjZWQyYjczNWYxNWU3OTE3YzQzZGMyNGQ5OGM0Y2EwMjU6aDpUOkY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cid:image009.png@01DD150B.0DDFD7A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543</Words>
  <Characters>3036</Characters>
  <Application>Microsoft Office Word</Application>
  <DocSecurity>0</DocSecurity>
  <Lines>64</Lines>
  <Paragraphs>24</Paragraphs>
  <ScaleCrop>false</ScaleCrop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Naleid</dc:creator>
  <cp:keywords/>
  <dc:description/>
  <cp:lastModifiedBy>Lori Frisbie</cp:lastModifiedBy>
  <cp:revision>2</cp:revision>
  <cp:lastPrinted>2026-07-21T16:05:00Z</cp:lastPrinted>
  <dcterms:created xsi:type="dcterms:W3CDTF">2026-07-21T16:07:00Z</dcterms:created>
  <dcterms:modified xsi:type="dcterms:W3CDTF">2026-07-21T16:07:00Z</dcterms:modified>
</cp:coreProperties>
</file>